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2026" w14:textId="6754BB3A" w:rsidR="008E1769" w:rsidRPr="005A154E" w:rsidRDefault="008E176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834FC7" w14:paraId="78779965" w14:textId="77777777" w:rsidTr="00834FC7">
        <w:tc>
          <w:tcPr>
            <w:tcW w:w="4621" w:type="dxa"/>
          </w:tcPr>
          <w:p w14:paraId="63BB35D5" w14:textId="77777777" w:rsidR="003471E9" w:rsidRDefault="005A154E" w:rsidP="00A3310B">
            <w:pPr>
              <w:jc w:val="center"/>
              <w:rPr>
                <w:b/>
              </w:rPr>
            </w:pPr>
            <w:r w:rsidRPr="005A154E">
              <w:rPr>
                <w:b/>
              </w:rPr>
              <w:t>Charitable Incorporated Organisation (“CIO”)</w:t>
            </w:r>
          </w:p>
          <w:p w14:paraId="200D1907" w14:textId="77777777" w:rsidR="005A154E" w:rsidRPr="005A154E" w:rsidRDefault="005A154E" w:rsidP="00A3310B">
            <w:pPr>
              <w:jc w:val="center"/>
            </w:pPr>
          </w:p>
        </w:tc>
        <w:tc>
          <w:tcPr>
            <w:tcW w:w="4621" w:type="dxa"/>
          </w:tcPr>
          <w:p w14:paraId="3185E38E" w14:textId="3921F8DB" w:rsidR="00834FC7" w:rsidRPr="005A154E" w:rsidRDefault="00834FC7" w:rsidP="00A3310B">
            <w:pPr>
              <w:jc w:val="center"/>
              <w:rPr>
                <w:b/>
              </w:rPr>
            </w:pPr>
            <w:r w:rsidRPr="005A154E">
              <w:rPr>
                <w:b/>
              </w:rPr>
              <w:t xml:space="preserve">Charitable </w:t>
            </w:r>
            <w:r w:rsidR="009A1102">
              <w:rPr>
                <w:b/>
              </w:rPr>
              <w:t>Company</w:t>
            </w:r>
            <w:r w:rsidRPr="005A154E">
              <w:rPr>
                <w:b/>
              </w:rPr>
              <w:t xml:space="preserve"> (“</w:t>
            </w:r>
            <w:r w:rsidR="009A1102">
              <w:rPr>
                <w:b/>
              </w:rPr>
              <w:t>Company</w:t>
            </w:r>
            <w:r w:rsidRPr="005A154E">
              <w:rPr>
                <w:b/>
              </w:rPr>
              <w:t>”)</w:t>
            </w:r>
          </w:p>
        </w:tc>
      </w:tr>
      <w:tr w:rsidR="00834FC7" w14:paraId="2F97D3E7" w14:textId="77777777" w:rsidTr="00834FC7">
        <w:tc>
          <w:tcPr>
            <w:tcW w:w="4621" w:type="dxa"/>
          </w:tcPr>
          <w:p w14:paraId="1F44BD97" w14:textId="77777777" w:rsidR="005A154E" w:rsidRDefault="00834FC7">
            <w:r>
              <w:t>CIO has separate Legal Personality – it can enter contracts (e.g. employment contracts or leases) in its own name.</w:t>
            </w:r>
            <w:r w:rsidR="005A154E">
              <w:t xml:space="preserve"> </w:t>
            </w:r>
          </w:p>
          <w:p w14:paraId="2B2A141C" w14:textId="77777777" w:rsidR="003471E9" w:rsidRDefault="003471E9" w:rsidP="005A154E"/>
        </w:tc>
        <w:tc>
          <w:tcPr>
            <w:tcW w:w="4621" w:type="dxa"/>
          </w:tcPr>
          <w:p w14:paraId="0852503D" w14:textId="124E0FE2" w:rsidR="00834FC7" w:rsidRDefault="009A1102">
            <w:r>
              <w:t>A Company has the same benefits</w:t>
            </w:r>
          </w:p>
          <w:p w14:paraId="58DCF45F" w14:textId="77777777" w:rsidR="005A154E" w:rsidRDefault="005A154E"/>
        </w:tc>
      </w:tr>
      <w:tr w:rsidR="005A154E" w14:paraId="299D8535" w14:textId="77777777" w:rsidTr="00834FC7">
        <w:tc>
          <w:tcPr>
            <w:tcW w:w="4621" w:type="dxa"/>
          </w:tcPr>
          <w:p w14:paraId="6EA91444" w14:textId="77777777" w:rsidR="005A154E" w:rsidRDefault="005A154E" w:rsidP="005A154E">
            <w:r>
              <w:t>The CIO can also be sued in its own name.</w:t>
            </w:r>
          </w:p>
          <w:p w14:paraId="677B5C41" w14:textId="77777777" w:rsidR="005A154E" w:rsidRDefault="005A154E"/>
        </w:tc>
        <w:tc>
          <w:tcPr>
            <w:tcW w:w="4621" w:type="dxa"/>
          </w:tcPr>
          <w:p w14:paraId="028F04A8" w14:textId="0AD2A32A" w:rsidR="005A154E" w:rsidRDefault="009A1102">
            <w:r>
              <w:t>A Company has the same benefits</w:t>
            </w:r>
          </w:p>
          <w:p w14:paraId="43B248BE" w14:textId="77777777" w:rsidR="005A154E" w:rsidRDefault="005A154E"/>
        </w:tc>
      </w:tr>
      <w:tr w:rsidR="00834FC7" w14:paraId="7FACCF4A" w14:textId="77777777" w:rsidTr="00834FC7">
        <w:tc>
          <w:tcPr>
            <w:tcW w:w="4621" w:type="dxa"/>
          </w:tcPr>
          <w:p w14:paraId="1B0C071E" w14:textId="77777777" w:rsidR="00834FC7" w:rsidRDefault="00F212D0">
            <w:r>
              <w:t>Liability of Members limited to a specified amount (£1 or £10 usually) upon liquidation.</w:t>
            </w:r>
          </w:p>
        </w:tc>
        <w:tc>
          <w:tcPr>
            <w:tcW w:w="4621" w:type="dxa"/>
          </w:tcPr>
          <w:p w14:paraId="53F88255" w14:textId="31A4C260" w:rsidR="00F212D0" w:rsidRDefault="009A1102">
            <w:r>
              <w:t>A Company has the same benefits</w:t>
            </w:r>
            <w:r w:rsidR="00F212D0">
              <w:t xml:space="preserve"> </w:t>
            </w:r>
          </w:p>
        </w:tc>
      </w:tr>
      <w:tr w:rsidR="00834FC7" w14:paraId="07BB2ACD" w14:textId="77777777" w:rsidTr="00834FC7">
        <w:tc>
          <w:tcPr>
            <w:tcW w:w="4621" w:type="dxa"/>
          </w:tcPr>
          <w:p w14:paraId="239956FA" w14:textId="77777777" w:rsidR="00834FC7" w:rsidRDefault="00F212D0">
            <w:r>
              <w:t>Filing Requirements with the Charity Commission annual report and annual accounts.</w:t>
            </w:r>
          </w:p>
          <w:p w14:paraId="4CAA697F" w14:textId="77777777" w:rsidR="003471E9" w:rsidRDefault="003471E9"/>
        </w:tc>
        <w:tc>
          <w:tcPr>
            <w:tcW w:w="4621" w:type="dxa"/>
          </w:tcPr>
          <w:p w14:paraId="409DFB36" w14:textId="2FD16153" w:rsidR="00834FC7" w:rsidRDefault="00F212D0">
            <w:r>
              <w:t>Filing Requirements with the Charity Commission annual report and annual accounts</w:t>
            </w:r>
            <w:r w:rsidR="009A1102">
              <w:t xml:space="preserve"> but in addition, also with Companies House</w:t>
            </w:r>
            <w:r>
              <w:t>.</w:t>
            </w:r>
          </w:p>
        </w:tc>
      </w:tr>
      <w:tr w:rsidR="009D1607" w14:paraId="0DFCFA25" w14:textId="77777777" w:rsidTr="00834FC7">
        <w:tc>
          <w:tcPr>
            <w:tcW w:w="4621" w:type="dxa"/>
          </w:tcPr>
          <w:p w14:paraId="3265A854" w14:textId="77777777" w:rsidR="009D1607" w:rsidRDefault="009D1607">
            <w:r>
              <w:t>Obligation to keep a register of Trustees, which is open to the public, and a register of members, which is open to inspection by the members.</w:t>
            </w:r>
          </w:p>
          <w:p w14:paraId="00F77EA7" w14:textId="77777777" w:rsidR="003471E9" w:rsidRDefault="003471E9"/>
        </w:tc>
        <w:tc>
          <w:tcPr>
            <w:tcW w:w="4621" w:type="dxa"/>
          </w:tcPr>
          <w:p w14:paraId="31C281DE" w14:textId="02117EE9" w:rsidR="009D1607" w:rsidRDefault="009A1102">
            <w:r>
              <w:t>A Company has the same obligations</w:t>
            </w:r>
          </w:p>
        </w:tc>
      </w:tr>
      <w:tr w:rsidR="00834FC7" w14:paraId="7E214D2A" w14:textId="77777777" w:rsidTr="00834FC7">
        <w:tc>
          <w:tcPr>
            <w:tcW w:w="4621" w:type="dxa"/>
          </w:tcPr>
          <w:p w14:paraId="3D1509E9" w14:textId="7BD80BD9" w:rsidR="00834FC7" w:rsidRDefault="00F212D0">
            <w:r>
              <w:t xml:space="preserve">Charges can not be registered at the </w:t>
            </w:r>
            <w:r w:rsidR="009D1607">
              <w:t>Charity</w:t>
            </w:r>
            <w:r>
              <w:t xml:space="preserve"> </w:t>
            </w:r>
            <w:r w:rsidR="009D1607">
              <w:t>Commission</w:t>
            </w:r>
            <w:r>
              <w:t xml:space="preserve"> (compared with Companies House for a Charitable Company) – should only an issue if seeking to raise funding by secured lending</w:t>
            </w:r>
            <w:r w:rsidR="009A1102">
              <w:t>, although if the lending is secured by a charge over property then the charge will be registered in any event at the Land Registry</w:t>
            </w:r>
            <w:r>
              <w:t>.</w:t>
            </w:r>
          </w:p>
          <w:p w14:paraId="6B2A1522" w14:textId="77777777" w:rsidR="003471E9" w:rsidRDefault="003471E9"/>
        </w:tc>
        <w:tc>
          <w:tcPr>
            <w:tcW w:w="4621" w:type="dxa"/>
          </w:tcPr>
          <w:p w14:paraId="4879A7A5" w14:textId="09751182" w:rsidR="00834FC7" w:rsidRDefault="009A1102">
            <w:r>
              <w:t>Charges must be registered at Companies House. If borrowing is likely, it may be the lender would prefer a Company to enable its lending to be registered at Companies House.</w:t>
            </w:r>
          </w:p>
        </w:tc>
      </w:tr>
      <w:tr w:rsidR="003471E9" w14:paraId="4BE9629B" w14:textId="77777777" w:rsidTr="00834FC7">
        <w:tc>
          <w:tcPr>
            <w:tcW w:w="4621" w:type="dxa"/>
          </w:tcPr>
          <w:p w14:paraId="5E9A377F" w14:textId="651C2AF4" w:rsidR="003471E9" w:rsidRDefault="005A154E">
            <w:r>
              <w:t>CIO can not issue d</w:t>
            </w:r>
            <w:r w:rsidR="003471E9">
              <w:t>ebentures as a means of fundin</w:t>
            </w:r>
            <w:r w:rsidR="009A1102">
              <w:t>g</w:t>
            </w:r>
            <w:r w:rsidR="003471E9">
              <w:t>.</w:t>
            </w:r>
          </w:p>
          <w:p w14:paraId="5D4FEB10" w14:textId="77777777" w:rsidR="003471E9" w:rsidRDefault="003471E9"/>
        </w:tc>
        <w:tc>
          <w:tcPr>
            <w:tcW w:w="4621" w:type="dxa"/>
          </w:tcPr>
          <w:p w14:paraId="5DF99C2D" w14:textId="5819F512" w:rsidR="003471E9" w:rsidRDefault="009A1102">
            <w:r>
              <w:t>A Company can issue a debenture.</w:t>
            </w:r>
          </w:p>
        </w:tc>
      </w:tr>
      <w:tr w:rsidR="003471E9" w14:paraId="1549D9B3" w14:textId="77777777" w:rsidTr="00834FC7">
        <w:tc>
          <w:tcPr>
            <w:tcW w:w="4621" w:type="dxa"/>
          </w:tcPr>
          <w:p w14:paraId="5378C29A" w14:textId="77777777" w:rsidR="003471E9" w:rsidRDefault="003471E9">
            <w:r>
              <w:t>Any Change in Trustee has to be registered with the Charity Commission within 28 days</w:t>
            </w:r>
          </w:p>
          <w:p w14:paraId="5ACE762B" w14:textId="77777777" w:rsidR="003471E9" w:rsidRDefault="003471E9"/>
        </w:tc>
        <w:tc>
          <w:tcPr>
            <w:tcW w:w="4621" w:type="dxa"/>
          </w:tcPr>
          <w:p w14:paraId="3D9842DC" w14:textId="6B26C334" w:rsidR="003471E9" w:rsidRDefault="003471E9" w:rsidP="004D610A">
            <w:r>
              <w:t xml:space="preserve">Any Change in Trustee has to be registered with the Charity Commission </w:t>
            </w:r>
            <w:r w:rsidR="009A1102">
              <w:t>and at Companies House within 14 days</w:t>
            </w:r>
            <w:r w:rsidR="004D610A">
              <w:t>.</w:t>
            </w:r>
          </w:p>
        </w:tc>
      </w:tr>
      <w:tr w:rsidR="003471E9" w14:paraId="254B98AF" w14:textId="77777777" w:rsidTr="00834FC7">
        <w:tc>
          <w:tcPr>
            <w:tcW w:w="4621" w:type="dxa"/>
          </w:tcPr>
          <w:p w14:paraId="4D317175" w14:textId="77777777" w:rsidR="003471E9" w:rsidRDefault="003471E9">
            <w:r>
              <w:t>Duty to preserve records for at least 6 years from end of financial year they relate to.</w:t>
            </w:r>
          </w:p>
          <w:p w14:paraId="7CDA6FA4" w14:textId="77777777" w:rsidR="003471E9" w:rsidRDefault="003471E9"/>
        </w:tc>
        <w:tc>
          <w:tcPr>
            <w:tcW w:w="4621" w:type="dxa"/>
          </w:tcPr>
          <w:p w14:paraId="62F9D41F" w14:textId="5B54022D" w:rsidR="003471E9" w:rsidRDefault="009A1102" w:rsidP="00A62F0E">
            <w:r>
              <w:t>A Company has the same obligations.</w:t>
            </w:r>
          </w:p>
        </w:tc>
      </w:tr>
      <w:tr w:rsidR="00834FC7" w14:paraId="49EC1732" w14:textId="77777777" w:rsidTr="00834FC7">
        <w:tc>
          <w:tcPr>
            <w:tcW w:w="4621" w:type="dxa"/>
          </w:tcPr>
          <w:p w14:paraId="3F85CECD" w14:textId="0DCE5CE3" w:rsidR="00834FC7" w:rsidRDefault="003471E9">
            <w:r>
              <w:t>CIO must display its name in every location and every document or communication in the same way a Company does under the Trading Disclosures Regulations.  This includes, any letters, places of business and any website. There are civil and criminal consequences (a fine) for non-compliance.</w:t>
            </w:r>
          </w:p>
        </w:tc>
        <w:tc>
          <w:tcPr>
            <w:tcW w:w="4621" w:type="dxa"/>
          </w:tcPr>
          <w:p w14:paraId="0B5B5582" w14:textId="0CA41535" w:rsidR="00834FC7" w:rsidRDefault="009A1102">
            <w:r>
              <w:t>A Company has the same obligations.</w:t>
            </w:r>
          </w:p>
        </w:tc>
      </w:tr>
      <w:tr w:rsidR="00834FC7" w14:paraId="5F397E64" w14:textId="77777777" w:rsidTr="00834FC7">
        <w:tc>
          <w:tcPr>
            <w:tcW w:w="4621" w:type="dxa"/>
          </w:tcPr>
          <w:p w14:paraId="0142B122" w14:textId="77777777" w:rsidR="00834FC7" w:rsidRDefault="004D610A">
            <w:r>
              <w:t>One or Two Trustees can execute documents on behalf of the CIO</w:t>
            </w:r>
          </w:p>
        </w:tc>
        <w:tc>
          <w:tcPr>
            <w:tcW w:w="4621" w:type="dxa"/>
          </w:tcPr>
          <w:p w14:paraId="76922244" w14:textId="03F9247A" w:rsidR="00834FC7" w:rsidRDefault="009A1102">
            <w:r>
              <w:t>One or Two Trustees can execute documents on behalf of the Company.</w:t>
            </w:r>
          </w:p>
        </w:tc>
      </w:tr>
    </w:tbl>
    <w:p w14:paraId="3BB2B917" w14:textId="77777777" w:rsidR="007773A1" w:rsidRPr="007773A1" w:rsidRDefault="007773A1" w:rsidP="001C344A"/>
    <w:sectPr w:rsidR="007773A1" w:rsidRPr="00777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B1"/>
    <w:rsid w:val="0006574C"/>
    <w:rsid w:val="00144773"/>
    <w:rsid w:val="001511C0"/>
    <w:rsid w:val="001B778B"/>
    <w:rsid w:val="001C344A"/>
    <w:rsid w:val="002D7437"/>
    <w:rsid w:val="003471E9"/>
    <w:rsid w:val="003945A3"/>
    <w:rsid w:val="003D7D50"/>
    <w:rsid w:val="004D610A"/>
    <w:rsid w:val="00541816"/>
    <w:rsid w:val="00570512"/>
    <w:rsid w:val="005772CC"/>
    <w:rsid w:val="005A154E"/>
    <w:rsid w:val="006900B1"/>
    <w:rsid w:val="007773A1"/>
    <w:rsid w:val="00825DB6"/>
    <w:rsid w:val="00834FC7"/>
    <w:rsid w:val="008E1769"/>
    <w:rsid w:val="009A1102"/>
    <w:rsid w:val="009D1607"/>
    <w:rsid w:val="00A3310B"/>
    <w:rsid w:val="00CD3FE3"/>
    <w:rsid w:val="00D12BAD"/>
    <w:rsid w:val="00D66F86"/>
    <w:rsid w:val="00DE403D"/>
    <w:rsid w:val="00EF4757"/>
    <w:rsid w:val="00F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CEB5"/>
  <w15:docId w15:val="{181F17D2-361F-4C31-9C49-A54795AE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Dent</dc:creator>
  <cp:lastModifiedBy>Kimberley Lupton</cp:lastModifiedBy>
  <cp:revision>2</cp:revision>
  <cp:lastPrinted>2018-01-17T14:44:00Z</cp:lastPrinted>
  <dcterms:created xsi:type="dcterms:W3CDTF">2025-07-21T09:37:00Z</dcterms:created>
  <dcterms:modified xsi:type="dcterms:W3CDTF">2025-07-21T09:37:00Z</dcterms:modified>
</cp:coreProperties>
</file>